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Rewolucja w audytach energetycznych – jak praktyczne wdrożenia przekładają się na realne oszczędności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Przedsiębiorstwa otrzymują narzędzie, które nie tylko obala mity dotyczące audytów energetycznych, ale przede wszystkim dostarcza konkretnych wskazówek umożliwiających osiągnięcie realnych oszczędności i optymalizację procesów.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„Audyty energetyczne przedsiębiorstw. Rozprawiamy się z mitami”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ponad 70 stron przepełnionych wiedzą inżynieryjną, finansową, prawną oraz energetyczną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11 rozdziałów – odpowiadających na potrzeby rynku w dobie rosnących kosztów energii i zmian regulacyjnych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wypowiedzi 14 ekspertów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dokument opracowany na podstawie analizy ponad 1500 audytów DB Energy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Kluczowe wnioski raportu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Audyt jako narzędzie oszczędności</w:t>
      </w:r>
    </w:p>
    <w:p>
      <w:r>
        <w:rPr>
          <w:rFonts w:ascii="calibri" w:hAnsi="calibri" w:eastAsia="calibri" w:cs="calibri"/>
          <w:sz w:val="24"/>
          <w:szCs w:val="24"/>
        </w:rPr>
        <w:t xml:space="preserve">Raport dowodzi, że audyt energetyczny to nie tylko obowiązek formalny, ale przede wszystkim sposób na generowanie realnych oszczędności. Przykłady zawarte w opracowaniu pokazują, że wdrożenie rekomendacji może obniżyć koszty energii nawet o 20%.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Krok w stronę efektywności</w:t>
      </w:r>
    </w:p>
    <w:p>
      <w:r>
        <w:rPr>
          <w:rFonts w:ascii="calibri" w:hAnsi="calibri" w:eastAsia="calibri" w:cs="calibri"/>
          <w:sz w:val="24"/>
          <w:szCs w:val="24"/>
        </w:rPr>
        <w:t xml:space="preserve">Audyt stanowi pierwszy etap w poprawie efektywności energetycznej, wskazując konkretne działania do wdrożenia w przedsiębiorstwach. Jest niezbędnym elementem strategii długoterminowej, umożliwiającym lepsze zarządzanie zużyciem energii oraz przygotowanie się na przyszłe regulacje.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Współgra z globalnymi trendami</w:t>
      </w:r>
    </w:p>
    <w:p>
      <w:r>
        <w:rPr>
          <w:rFonts w:ascii="calibri" w:hAnsi="calibri" w:eastAsia="calibri" w:cs="calibri"/>
          <w:sz w:val="24"/>
          <w:szCs w:val="24"/>
        </w:rPr>
        <w:t xml:space="preserve">W obliczu rosnącego zapotrzebowania na efektywność energetyczną i presji regulacyjnej, raport wpisuje się w obecne trendy rynkowe. Przedsiębiorstwa mogą dzięki niemu nie tylko ograniczyć koszty, ale także przyczynić się do realizacji strategii zeroemisyjnej, realnie zmniejszając swój ślad węglowy.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Plan działania, a nie archiwum</w:t>
      </w:r>
    </w:p>
    <w:p>
      <w:r>
        <w:rPr>
          <w:rFonts w:ascii="calibri" w:hAnsi="calibri" w:eastAsia="calibri" w:cs="calibri"/>
          <w:sz w:val="24"/>
          <w:szCs w:val="24"/>
        </w:rPr>
        <w:t xml:space="preserve">To nie jest jedynie zbiór teoretycznych rozważań – to gotowy plan wdrożenia, który dzięki ciągłemu procesowi planowania, działania, kontroli efektów i doskonalenia strategii, staje się dynamicznym narzędziem wsparcia w biznesie.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Komentarze ekspertów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poszczególnych rozdziałach raportu swoje komentarze udzielili: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Pani Radczyni Prawna </w:t>
      </w:r>
      <w:r>
        <w:rPr>
          <w:rFonts w:ascii="calibri" w:hAnsi="calibri" w:eastAsia="calibri" w:cs="calibri"/>
          <w:sz w:val="24"/>
          <w:szCs w:val="24"/>
          <w:b/>
        </w:rPr>
        <w:t xml:space="preserve">Beata Superson–Polowiec</w:t>
      </w:r>
      <w:r>
        <w:rPr>
          <w:rFonts w:ascii="calibri" w:hAnsi="calibri" w:eastAsia="calibri" w:cs="calibri"/>
          <w:sz w:val="24"/>
          <w:szCs w:val="24"/>
        </w:rPr>
        <w:t xml:space="preserve">, Wspólniczka w Kancelarii Polowiec i Wspólnicy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Pani </w:t>
      </w:r>
      <w:r>
        <w:rPr>
          <w:rFonts w:ascii="calibri" w:hAnsi="calibri" w:eastAsia="calibri" w:cs="calibri"/>
          <w:sz w:val="24"/>
          <w:szCs w:val="24"/>
          <w:b/>
        </w:rPr>
        <w:t xml:space="preserve">Katarzyna Ułanowicz</w:t>
      </w:r>
      <w:r>
        <w:rPr>
          <w:rFonts w:ascii="calibri" w:hAnsi="calibri" w:eastAsia="calibri" w:cs="calibri"/>
          <w:sz w:val="24"/>
          <w:szCs w:val="24"/>
        </w:rPr>
        <w:t xml:space="preserve"> – Prezes Zarządu w Go BIG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Pan </w:t>
      </w:r>
      <w:r>
        <w:rPr>
          <w:rFonts w:ascii="calibri" w:hAnsi="calibri" w:eastAsia="calibri" w:cs="calibri"/>
          <w:sz w:val="24"/>
          <w:szCs w:val="24"/>
          <w:b/>
        </w:rPr>
        <w:t xml:space="preserve">Łukasz Dobrowolski</w:t>
      </w:r>
      <w:r>
        <w:rPr>
          <w:rFonts w:ascii="calibri" w:hAnsi="calibri" w:eastAsia="calibri" w:cs="calibri"/>
          <w:sz w:val="24"/>
          <w:szCs w:val="24"/>
        </w:rPr>
        <w:t xml:space="preserve"> – Dyrektor ds. Strategii Klimatycznych i Rynku Energii w Fundacja Climate&amp;Strategy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Pan </w:t>
      </w:r>
      <w:r>
        <w:rPr>
          <w:rFonts w:ascii="calibri" w:hAnsi="calibri" w:eastAsia="calibri" w:cs="calibri"/>
          <w:sz w:val="24"/>
          <w:szCs w:val="24"/>
          <w:b/>
        </w:rPr>
        <w:t xml:space="preserve">Adam Dominiak</w:t>
      </w:r>
      <w:r>
        <w:rPr>
          <w:rFonts w:ascii="calibri" w:hAnsi="calibri" w:eastAsia="calibri" w:cs="calibri"/>
          <w:sz w:val="24"/>
          <w:szCs w:val="24"/>
        </w:rPr>
        <w:t xml:space="preserve"> – Prezes Zarządu w Enea Eko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Pan </w:t>
      </w:r>
      <w:r>
        <w:rPr>
          <w:rFonts w:ascii="calibri" w:hAnsi="calibri" w:eastAsia="calibri" w:cs="calibri"/>
          <w:sz w:val="24"/>
          <w:szCs w:val="24"/>
          <w:b/>
        </w:rPr>
        <w:t xml:space="preserve">Remigiusz Nowakowski</w:t>
      </w:r>
      <w:r>
        <w:rPr>
          <w:rFonts w:ascii="calibri" w:hAnsi="calibri" w:eastAsia="calibri" w:cs="calibri"/>
          <w:sz w:val="24"/>
          <w:szCs w:val="24"/>
        </w:rPr>
        <w:t xml:space="preserve"> – Prezes Zarządu DISE i Dyrektor Zarządzający QAir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Pan </w:t>
      </w:r>
      <w:r>
        <w:rPr>
          <w:rFonts w:ascii="calibri" w:hAnsi="calibri" w:eastAsia="calibri" w:cs="calibri"/>
          <w:sz w:val="24"/>
          <w:szCs w:val="24"/>
          <w:b/>
        </w:rPr>
        <w:t xml:space="preserve">Maciej Szott</w:t>
      </w:r>
      <w:r>
        <w:rPr>
          <w:rFonts w:ascii="calibri" w:hAnsi="calibri" w:eastAsia="calibri" w:cs="calibri"/>
          <w:sz w:val="24"/>
          <w:szCs w:val="24"/>
        </w:rPr>
        <w:t xml:space="preserve"> – Ekspert Efektywności Energetycznej w Luxon LED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Pan </w:t>
      </w:r>
      <w:r>
        <w:rPr>
          <w:rFonts w:ascii="calibri" w:hAnsi="calibri" w:eastAsia="calibri" w:cs="calibri"/>
          <w:sz w:val="24"/>
          <w:szCs w:val="24"/>
          <w:b/>
        </w:rPr>
        <w:t xml:space="preserve">Jarosław Wajer</w:t>
      </w:r>
      <w:r>
        <w:rPr>
          <w:rFonts w:ascii="calibri" w:hAnsi="calibri" w:eastAsia="calibri" w:cs="calibri"/>
          <w:sz w:val="24"/>
          <w:szCs w:val="24"/>
        </w:rPr>
        <w:t xml:space="preserve"> – Lider Działu Energetyki w Polsce oraz regionie CESA w EY Polska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ekspertów wnosi unikalne spostrzeżenia dotyczące aspektów prawnych, finansowych i technologicznych, co potwierdza, że audyt energetyczny stanowi strategiczne narzędzie niezbędne do podejmowania świadomych decyzji biznesowych.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Kontekst rynkowy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Dynamiczne zmiany na rynku energetycznym – rosnące ceny energii, zwiększony nacisk na efektywność energetyczną oraz nowe regulacji – były głównym argumentem dla opracowania raportu. Stanowi on odpowiedź na potrzeby przedsiębiorstw, które muszą adaptować się do nowych warunków rynkowych. Opracowanie wyposaża firmy w narzędzia niezbędne do efektywnego zarządzania energią, co przekłada się na wzrost konkurencyjności i zmniejszenie kosztów operacyjnych.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Patronat medialny nas raportem objął portal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CIRE.pl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Pełny raport dostępny jest do pobrania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https://raporteed.dbenergy.pl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Dziennikarze zainteresowani dodatkowymi informacjami proszeni są o kontakt z Panią </w:t>
      </w:r>
      <w:r>
        <w:rPr>
          <w:rFonts w:ascii="calibri" w:hAnsi="calibri" w:eastAsia="calibri" w:cs="calibri"/>
          <w:sz w:val="24"/>
          <w:szCs w:val="24"/>
          <w:b/>
        </w:rPr>
        <w:t xml:space="preserve">Dorotą Jeżewską</w:t>
      </w:r>
      <w:r>
        <w:rPr>
          <w:rFonts w:ascii="calibri" w:hAnsi="calibri" w:eastAsia="calibri" w:cs="calibri"/>
          <w:sz w:val="24"/>
          <w:szCs w:val="24"/>
        </w:rPr>
        <w:t xml:space="preserve">: dorota.jezewska@dbenergy.pl</w:t>
      </w:r>
    </w:p>
    <w:p>
      <w:r>
        <w:rPr>
          <w:rFonts w:ascii="calibri" w:hAnsi="calibri" w:eastAsia="calibri" w:cs="calibri"/>
          <w:sz w:val="24"/>
          <w:szCs w:val="24"/>
        </w:rPr>
        <w:t xml:space="preserve">+48 512 878 865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ire.pl" TargetMode="External"/><Relationship Id="rId8" Type="http://schemas.openxmlformats.org/officeDocument/2006/relationships/hyperlink" Target="https://raporteed.dbenergy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2026-08-18T21:42:24+02:00</dcterms:created>
  <dcterms:modified xsi:type="dcterms:W3CDTF">2026-08-18T21:42:24+02:00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